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EB19" w14:textId="77777777" w:rsidR="009B15D5" w:rsidRPr="00840634" w:rsidRDefault="009B15D5" w:rsidP="00D55716">
      <w:pPr>
        <w:wordWrap w:val="0"/>
        <w:ind w:right="120"/>
        <w:jc w:val="right"/>
        <w:rPr>
          <w:sz w:val="24"/>
          <w:szCs w:val="24"/>
          <w:u w:val="single"/>
        </w:rPr>
      </w:pPr>
    </w:p>
    <w:p w14:paraId="7C7ADA19" w14:textId="77777777" w:rsidR="009B15D5" w:rsidRDefault="009B15D5">
      <w:pPr>
        <w:jc w:val="center"/>
        <w:rPr>
          <w:b/>
          <w:sz w:val="32"/>
        </w:rPr>
      </w:pPr>
      <w:r>
        <w:rPr>
          <w:b/>
          <w:sz w:val="32"/>
        </w:rPr>
        <w:t>S.K. YEE MEDICAL FOUNDATION</w:t>
      </w:r>
    </w:p>
    <w:p w14:paraId="100DDDE2" w14:textId="77777777" w:rsidR="009B15D5" w:rsidRDefault="009B15D5">
      <w:pPr>
        <w:rPr>
          <w:sz w:val="24"/>
        </w:rPr>
      </w:pPr>
    </w:p>
    <w:p w14:paraId="7F05D0AF" w14:textId="77777777" w:rsidR="009B15D5" w:rsidRDefault="009B15D5">
      <w:pPr>
        <w:jc w:val="center"/>
      </w:pPr>
      <w:r>
        <w:rPr>
          <w:u w:val="single"/>
        </w:rPr>
        <w:t>Guidelines for Applicants</w:t>
      </w:r>
    </w:p>
    <w:p w14:paraId="1D23C283" w14:textId="77777777" w:rsidR="009B15D5" w:rsidRDefault="009B15D5">
      <w:pPr>
        <w:rPr>
          <w:sz w:val="24"/>
        </w:rPr>
      </w:pPr>
    </w:p>
    <w:p w14:paraId="7FE9D5A8" w14:textId="77777777" w:rsidR="009B15D5" w:rsidRDefault="009B15D5">
      <w:pPr>
        <w:rPr>
          <w:b/>
          <w:sz w:val="24"/>
          <w:u w:val="single"/>
        </w:rPr>
      </w:pPr>
      <w:r>
        <w:rPr>
          <w:b/>
          <w:sz w:val="24"/>
        </w:rPr>
        <w:t>1.</w:t>
      </w:r>
      <w:r>
        <w:rPr>
          <w:b/>
          <w:sz w:val="24"/>
        </w:rPr>
        <w:tab/>
      </w:r>
      <w:r>
        <w:rPr>
          <w:b/>
          <w:sz w:val="24"/>
          <w:u w:val="single"/>
        </w:rPr>
        <w:t>Background</w:t>
      </w:r>
    </w:p>
    <w:p w14:paraId="48B68577" w14:textId="77777777" w:rsidR="009B15D5" w:rsidRDefault="009B15D5">
      <w:pPr>
        <w:rPr>
          <w:sz w:val="24"/>
        </w:rPr>
      </w:pPr>
    </w:p>
    <w:p w14:paraId="1D2B14C1" w14:textId="77777777" w:rsidR="009B15D5" w:rsidRDefault="009B15D5">
      <w:pPr>
        <w:jc w:val="both"/>
        <w:rPr>
          <w:sz w:val="24"/>
        </w:rPr>
      </w:pPr>
      <w:r>
        <w:rPr>
          <w:sz w:val="24"/>
        </w:rPr>
        <w:t>S.K. Yee Medical Foundation is a charitable trust which was established by the late General S.K. Yee in November 1983.  The Trustees who oversee the Foundation ensure the effective implementation of the Objects of the Foundation.</w:t>
      </w:r>
    </w:p>
    <w:p w14:paraId="18C7E085" w14:textId="77777777" w:rsidR="009B15D5" w:rsidRDefault="009B15D5">
      <w:pPr>
        <w:jc w:val="both"/>
        <w:rPr>
          <w:sz w:val="24"/>
        </w:rPr>
      </w:pPr>
    </w:p>
    <w:p w14:paraId="46FD0ED4" w14:textId="77777777" w:rsidR="009B15D5" w:rsidRDefault="009B15D5">
      <w:pPr>
        <w:jc w:val="both"/>
        <w:rPr>
          <w:b/>
          <w:sz w:val="24"/>
          <w:u w:val="single"/>
        </w:rPr>
      </w:pPr>
      <w:r>
        <w:rPr>
          <w:b/>
          <w:sz w:val="24"/>
        </w:rPr>
        <w:t>2.</w:t>
      </w:r>
      <w:r>
        <w:rPr>
          <w:b/>
          <w:sz w:val="24"/>
        </w:rPr>
        <w:tab/>
      </w:r>
      <w:r>
        <w:rPr>
          <w:b/>
          <w:sz w:val="24"/>
          <w:u w:val="single"/>
        </w:rPr>
        <w:t>Objects</w:t>
      </w:r>
    </w:p>
    <w:p w14:paraId="752EC3EA" w14:textId="77777777" w:rsidR="009B15D5" w:rsidRDefault="009B15D5">
      <w:pPr>
        <w:jc w:val="both"/>
        <w:rPr>
          <w:sz w:val="24"/>
        </w:rPr>
      </w:pPr>
    </w:p>
    <w:p w14:paraId="1E1ECD3D" w14:textId="77777777" w:rsidR="009B15D5" w:rsidRDefault="009B15D5">
      <w:pPr>
        <w:jc w:val="both"/>
        <w:rPr>
          <w:sz w:val="24"/>
        </w:rPr>
      </w:pPr>
      <w:r>
        <w:rPr>
          <w:sz w:val="24"/>
        </w:rPr>
        <w:t>The objects of the Foundation are:</w:t>
      </w:r>
    </w:p>
    <w:p w14:paraId="1EB45FEC" w14:textId="77777777" w:rsidR="009B15D5" w:rsidRDefault="009B15D5">
      <w:pPr>
        <w:ind w:left="720" w:hanging="720"/>
        <w:jc w:val="both"/>
        <w:rPr>
          <w:sz w:val="24"/>
        </w:rPr>
      </w:pPr>
      <w:r>
        <w:rPr>
          <w:sz w:val="24"/>
        </w:rPr>
        <w:t>2.1</w:t>
      </w:r>
      <w:r>
        <w:rPr>
          <w:sz w:val="24"/>
        </w:rPr>
        <w:tab/>
        <w:t>To establish medical services for the poor and sick and provide equipment and apparatus for such services;</w:t>
      </w:r>
    </w:p>
    <w:p w14:paraId="08D0B482" w14:textId="77777777" w:rsidR="009B15D5" w:rsidRDefault="009B15D5">
      <w:pPr>
        <w:jc w:val="both"/>
        <w:rPr>
          <w:sz w:val="24"/>
        </w:rPr>
      </w:pPr>
      <w:r>
        <w:rPr>
          <w:sz w:val="24"/>
        </w:rPr>
        <w:t>2.2</w:t>
      </w:r>
      <w:r>
        <w:rPr>
          <w:sz w:val="24"/>
        </w:rPr>
        <w:tab/>
        <w:t>To provide medical education;</w:t>
      </w:r>
    </w:p>
    <w:p w14:paraId="49A9958D" w14:textId="77777777" w:rsidR="009B15D5" w:rsidRDefault="009B15D5">
      <w:pPr>
        <w:pStyle w:val="BodyTextIndent2"/>
      </w:pPr>
      <w:r>
        <w:t>2.3</w:t>
      </w:r>
      <w:r>
        <w:tab/>
        <w:t>To acquire and/or construct maintain and/or alter any buildings or works necessary or convenient for the above-mentioned objects or any of them;</w:t>
      </w:r>
    </w:p>
    <w:p w14:paraId="09DB1027" w14:textId="77777777" w:rsidR="009B15D5" w:rsidRDefault="009B15D5">
      <w:pPr>
        <w:ind w:left="720" w:hanging="720"/>
        <w:jc w:val="both"/>
        <w:rPr>
          <w:sz w:val="24"/>
        </w:rPr>
      </w:pPr>
      <w:r>
        <w:rPr>
          <w:sz w:val="24"/>
        </w:rPr>
        <w:t>2.4</w:t>
      </w:r>
      <w:r>
        <w:rPr>
          <w:sz w:val="24"/>
        </w:rPr>
        <w:tab/>
        <w:t>To assist, promote, establish, contribute, manage, control or support any charitable institutions or associations providing medical services for the poor and sick.</w:t>
      </w:r>
    </w:p>
    <w:p w14:paraId="3407580C" w14:textId="77777777" w:rsidR="009B15D5" w:rsidRDefault="009B15D5">
      <w:pPr>
        <w:jc w:val="both"/>
        <w:rPr>
          <w:sz w:val="24"/>
        </w:rPr>
      </w:pPr>
    </w:p>
    <w:p w14:paraId="18C9A0D3" w14:textId="77777777" w:rsidR="009B15D5" w:rsidRDefault="009B15D5">
      <w:pPr>
        <w:jc w:val="both"/>
        <w:rPr>
          <w:b/>
          <w:sz w:val="24"/>
        </w:rPr>
      </w:pPr>
      <w:r>
        <w:rPr>
          <w:b/>
          <w:sz w:val="24"/>
        </w:rPr>
        <w:t>3.</w:t>
      </w:r>
      <w:r>
        <w:rPr>
          <w:b/>
          <w:sz w:val="24"/>
        </w:rPr>
        <w:tab/>
      </w:r>
      <w:r>
        <w:rPr>
          <w:b/>
          <w:sz w:val="24"/>
          <w:u w:val="single"/>
        </w:rPr>
        <w:t>Project Support</w:t>
      </w:r>
    </w:p>
    <w:p w14:paraId="0A2B77AD" w14:textId="77777777" w:rsidR="009B15D5" w:rsidRDefault="009B15D5">
      <w:pPr>
        <w:jc w:val="both"/>
        <w:rPr>
          <w:sz w:val="24"/>
        </w:rPr>
      </w:pPr>
    </w:p>
    <w:p w14:paraId="409AE417" w14:textId="77777777" w:rsidR="009B15D5" w:rsidRDefault="009B15D5">
      <w:pPr>
        <w:jc w:val="both"/>
        <w:rPr>
          <w:sz w:val="24"/>
        </w:rPr>
      </w:pPr>
      <w:r>
        <w:rPr>
          <w:sz w:val="24"/>
        </w:rPr>
        <w:t>From 1997 onwards, applications are invited from registered institutions and associations for support of projects which meet any of the objects.  The support will normally take the form of grants.  The applications will be considered by the Trustees on a case-by-case basis once a year.</w:t>
      </w:r>
    </w:p>
    <w:p w14:paraId="112D21B2" w14:textId="77777777" w:rsidR="009B15D5" w:rsidRDefault="009B15D5">
      <w:pPr>
        <w:jc w:val="both"/>
        <w:rPr>
          <w:sz w:val="24"/>
        </w:rPr>
      </w:pPr>
    </w:p>
    <w:p w14:paraId="0B726D41" w14:textId="77777777" w:rsidR="009B15D5" w:rsidRDefault="009B15D5">
      <w:pPr>
        <w:jc w:val="both"/>
        <w:rPr>
          <w:b/>
          <w:sz w:val="24"/>
        </w:rPr>
      </w:pPr>
      <w:r>
        <w:rPr>
          <w:b/>
          <w:sz w:val="24"/>
        </w:rPr>
        <w:t>4.</w:t>
      </w:r>
      <w:r>
        <w:rPr>
          <w:b/>
          <w:sz w:val="24"/>
        </w:rPr>
        <w:tab/>
      </w:r>
      <w:r>
        <w:rPr>
          <w:b/>
          <w:sz w:val="24"/>
          <w:u w:val="single"/>
        </w:rPr>
        <w:t xml:space="preserve">Criteria Used </w:t>
      </w:r>
      <w:proofErr w:type="gramStart"/>
      <w:r>
        <w:rPr>
          <w:b/>
          <w:sz w:val="24"/>
          <w:u w:val="single"/>
        </w:rPr>
        <w:t>For</w:t>
      </w:r>
      <w:proofErr w:type="gramEnd"/>
      <w:r>
        <w:rPr>
          <w:b/>
          <w:sz w:val="24"/>
          <w:u w:val="single"/>
        </w:rPr>
        <w:t xml:space="preserve"> Determining Priorities In Allocation Of Support</w:t>
      </w:r>
    </w:p>
    <w:p w14:paraId="3FD603F2" w14:textId="77777777" w:rsidR="009B15D5" w:rsidRDefault="009B15D5">
      <w:pPr>
        <w:jc w:val="both"/>
        <w:rPr>
          <w:i/>
          <w:sz w:val="24"/>
          <w:u w:val="single"/>
        </w:rPr>
      </w:pPr>
    </w:p>
    <w:p w14:paraId="106230A3" w14:textId="77777777" w:rsidR="009B15D5" w:rsidRDefault="009B15D5">
      <w:pPr>
        <w:jc w:val="both"/>
        <w:rPr>
          <w:sz w:val="24"/>
        </w:rPr>
      </w:pPr>
      <w:r>
        <w:rPr>
          <w:sz w:val="24"/>
        </w:rPr>
        <w:t xml:space="preserve">Each application for support is considered on a case-by-case basis according to individual merit.  The criteria taken into account by the Trustees in determining priorities </w:t>
      </w:r>
      <w:proofErr w:type="gramStart"/>
      <w:r>
        <w:rPr>
          <w:sz w:val="24"/>
        </w:rPr>
        <w:t>include :</w:t>
      </w:r>
      <w:proofErr w:type="gramEnd"/>
    </w:p>
    <w:p w14:paraId="21F088E6" w14:textId="77777777" w:rsidR="009B15D5" w:rsidRDefault="009B15D5">
      <w:pPr>
        <w:numPr>
          <w:ilvl w:val="0"/>
          <w:numId w:val="1"/>
        </w:numPr>
        <w:jc w:val="both"/>
        <w:rPr>
          <w:sz w:val="24"/>
        </w:rPr>
      </w:pPr>
      <w:r>
        <w:rPr>
          <w:sz w:val="24"/>
        </w:rPr>
        <w:t>project plan(s), its feasibility and how it is of direct benefit to the poor and sick</w:t>
      </w:r>
    </w:p>
    <w:p w14:paraId="23C0B56D" w14:textId="77777777" w:rsidR="009B15D5" w:rsidRDefault="009B15D5">
      <w:pPr>
        <w:numPr>
          <w:ilvl w:val="0"/>
          <w:numId w:val="1"/>
        </w:numPr>
        <w:jc w:val="both"/>
        <w:rPr>
          <w:sz w:val="24"/>
        </w:rPr>
      </w:pPr>
      <w:r>
        <w:rPr>
          <w:sz w:val="24"/>
        </w:rPr>
        <w:t>uniqueness of the project</w:t>
      </w:r>
    </w:p>
    <w:p w14:paraId="32FCD038" w14:textId="77777777" w:rsidR="009B15D5" w:rsidRDefault="009B15D5">
      <w:pPr>
        <w:numPr>
          <w:ilvl w:val="0"/>
          <w:numId w:val="1"/>
        </w:numPr>
        <w:jc w:val="both"/>
        <w:rPr>
          <w:sz w:val="24"/>
        </w:rPr>
      </w:pPr>
      <w:r>
        <w:rPr>
          <w:sz w:val="24"/>
        </w:rPr>
        <w:t>the track record of the institution or association and the relevant experience and professional expertise of project participants</w:t>
      </w:r>
    </w:p>
    <w:p w14:paraId="27CCC1F9" w14:textId="77777777" w:rsidR="009B15D5" w:rsidRDefault="009B15D5">
      <w:pPr>
        <w:numPr>
          <w:ilvl w:val="0"/>
          <w:numId w:val="1"/>
        </w:numPr>
        <w:jc w:val="both"/>
        <w:rPr>
          <w:sz w:val="24"/>
        </w:rPr>
      </w:pPr>
      <w:r>
        <w:rPr>
          <w:sz w:val="24"/>
        </w:rPr>
        <w:t>recommendations obtained from professionals acting as independent referees</w:t>
      </w:r>
    </w:p>
    <w:p w14:paraId="753A27D3" w14:textId="77777777" w:rsidR="009B15D5" w:rsidRDefault="009B15D5">
      <w:pPr>
        <w:numPr>
          <w:ilvl w:val="0"/>
          <w:numId w:val="1"/>
        </w:numPr>
        <w:jc w:val="both"/>
        <w:rPr>
          <w:sz w:val="24"/>
        </w:rPr>
      </w:pPr>
      <w:r>
        <w:rPr>
          <w:sz w:val="24"/>
        </w:rPr>
        <w:t>likelihood that the project participants will be able to attain stipulated goals to benefit the poor and sick, and the general community</w:t>
      </w:r>
    </w:p>
    <w:p w14:paraId="5316B699" w14:textId="77777777" w:rsidR="009B15D5" w:rsidRDefault="009B15D5">
      <w:pPr>
        <w:numPr>
          <w:ilvl w:val="0"/>
          <w:numId w:val="1"/>
        </w:numPr>
        <w:jc w:val="both"/>
        <w:rPr>
          <w:sz w:val="24"/>
        </w:rPr>
      </w:pPr>
      <w:r>
        <w:rPr>
          <w:sz w:val="24"/>
        </w:rPr>
        <w:t>the degree of urgency and need for improvement in the health of the poor and sick in the specific project area</w:t>
      </w:r>
    </w:p>
    <w:p w14:paraId="2967E99E" w14:textId="77777777" w:rsidR="009B15D5" w:rsidRDefault="009B15D5">
      <w:pPr>
        <w:numPr>
          <w:ilvl w:val="0"/>
          <w:numId w:val="1"/>
        </w:numPr>
        <w:jc w:val="both"/>
        <w:rPr>
          <w:sz w:val="24"/>
        </w:rPr>
      </w:pPr>
      <w:r>
        <w:rPr>
          <w:sz w:val="24"/>
        </w:rPr>
        <w:t>availability of, and potential for, supporting funds and resources from other sources in the same project area</w:t>
      </w:r>
    </w:p>
    <w:p w14:paraId="127A2AAB" w14:textId="77777777" w:rsidR="009B15D5" w:rsidRDefault="009B15D5">
      <w:pPr>
        <w:numPr>
          <w:ilvl w:val="0"/>
          <w:numId w:val="1"/>
        </w:numPr>
        <w:jc w:val="both"/>
        <w:rPr>
          <w:sz w:val="24"/>
        </w:rPr>
      </w:pPr>
      <w:r>
        <w:rPr>
          <w:sz w:val="24"/>
        </w:rPr>
        <w:t>plans for collaboration among institutions, if appropriate</w:t>
      </w:r>
    </w:p>
    <w:p w14:paraId="73C3948C" w14:textId="77777777" w:rsidR="009B15D5" w:rsidRDefault="009B15D5">
      <w:pPr>
        <w:numPr>
          <w:ilvl w:val="0"/>
          <w:numId w:val="1"/>
        </w:numPr>
        <w:jc w:val="both"/>
        <w:rPr>
          <w:sz w:val="24"/>
        </w:rPr>
      </w:pPr>
      <w:r>
        <w:rPr>
          <w:sz w:val="24"/>
        </w:rPr>
        <w:t>cost-effectiveness of the project</w:t>
      </w:r>
    </w:p>
    <w:p w14:paraId="3126A211" w14:textId="77777777" w:rsidR="009B15D5" w:rsidRDefault="009B15D5">
      <w:pPr>
        <w:numPr>
          <w:ilvl w:val="0"/>
          <w:numId w:val="1"/>
        </w:numPr>
        <w:jc w:val="both"/>
        <w:rPr>
          <w:sz w:val="24"/>
        </w:rPr>
      </w:pPr>
      <w:r>
        <w:rPr>
          <w:sz w:val="24"/>
        </w:rPr>
        <w:t>contribution to academic/professional development and knowledge</w:t>
      </w:r>
    </w:p>
    <w:p w14:paraId="32242C89" w14:textId="77777777" w:rsidR="009B15D5" w:rsidRDefault="009B15D5">
      <w:pPr>
        <w:jc w:val="both"/>
        <w:rPr>
          <w:sz w:val="24"/>
        </w:rPr>
      </w:pPr>
    </w:p>
    <w:p w14:paraId="30CD4CC0" w14:textId="77777777" w:rsidR="009B15D5" w:rsidRDefault="009B15D5">
      <w:pPr>
        <w:pStyle w:val="BodyText"/>
      </w:pPr>
      <w:r>
        <w:t>The above list is not exhaustive and the Trustees may make appropriate adjustments to the above criteria as is seen fit and applicable.</w:t>
      </w:r>
    </w:p>
    <w:p w14:paraId="4F063871" w14:textId="77777777" w:rsidR="009B15D5" w:rsidRDefault="009B15D5">
      <w:pPr>
        <w:jc w:val="both"/>
        <w:rPr>
          <w:sz w:val="24"/>
        </w:rPr>
      </w:pPr>
    </w:p>
    <w:p w14:paraId="3CB026F6" w14:textId="77777777" w:rsidR="009B15D5" w:rsidRDefault="009B15D5">
      <w:pPr>
        <w:jc w:val="right"/>
        <w:rPr>
          <w:sz w:val="24"/>
        </w:rPr>
      </w:pPr>
    </w:p>
    <w:p w14:paraId="4CD37206" w14:textId="77777777" w:rsidR="0045510A" w:rsidRDefault="0045510A">
      <w:pPr>
        <w:jc w:val="right"/>
        <w:rPr>
          <w:sz w:val="24"/>
        </w:rPr>
      </w:pPr>
    </w:p>
    <w:p w14:paraId="66CA3508" w14:textId="77777777" w:rsidR="009B15D5" w:rsidRDefault="009B15D5">
      <w:pPr>
        <w:jc w:val="right"/>
        <w:rPr>
          <w:sz w:val="24"/>
        </w:rPr>
      </w:pPr>
      <w:r>
        <w:rPr>
          <w:sz w:val="24"/>
        </w:rPr>
        <w:t>/</w:t>
      </w:r>
      <w:proofErr w:type="gramStart"/>
      <w:r>
        <w:rPr>
          <w:sz w:val="24"/>
        </w:rPr>
        <w:t>.....</w:t>
      </w:r>
      <w:proofErr w:type="gramEnd"/>
      <w:r>
        <w:rPr>
          <w:sz w:val="24"/>
        </w:rPr>
        <w:t>2</w:t>
      </w:r>
    </w:p>
    <w:p w14:paraId="76616079" w14:textId="77777777" w:rsidR="009B15D5" w:rsidRDefault="009B15D5">
      <w:pPr>
        <w:jc w:val="center"/>
        <w:rPr>
          <w:sz w:val="24"/>
        </w:rPr>
      </w:pPr>
      <w:r>
        <w:rPr>
          <w:sz w:val="24"/>
        </w:rPr>
        <w:br w:type="page"/>
      </w:r>
      <w:r>
        <w:rPr>
          <w:sz w:val="24"/>
        </w:rPr>
        <w:lastRenderedPageBreak/>
        <w:t xml:space="preserve">-  </w:t>
      </w:r>
      <w:proofErr w:type="gramStart"/>
      <w:r>
        <w:rPr>
          <w:sz w:val="24"/>
        </w:rPr>
        <w:t>2  -</w:t>
      </w:r>
      <w:proofErr w:type="gramEnd"/>
    </w:p>
    <w:p w14:paraId="10BF09BB" w14:textId="77777777" w:rsidR="009B15D5" w:rsidRDefault="009B15D5">
      <w:pPr>
        <w:jc w:val="both"/>
        <w:rPr>
          <w:b/>
          <w:sz w:val="24"/>
          <w:u w:val="single"/>
        </w:rPr>
      </w:pPr>
      <w:r>
        <w:rPr>
          <w:b/>
          <w:sz w:val="24"/>
        </w:rPr>
        <w:t>5.</w:t>
      </w:r>
      <w:r>
        <w:rPr>
          <w:b/>
          <w:sz w:val="24"/>
        </w:rPr>
        <w:tab/>
      </w:r>
      <w:r>
        <w:rPr>
          <w:b/>
          <w:sz w:val="24"/>
          <w:u w:val="single"/>
        </w:rPr>
        <w:t>Important Notice</w:t>
      </w:r>
    </w:p>
    <w:p w14:paraId="0BE50382" w14:textId="77777777" w:rsidR="009B15D5" w:rsidRDefault="009B15D5">
      <w:pPr>
        <w:jc w:val="both"/>
        <w:rPr>
          <w:b/>
          <w:sz w:val="24"/>
        </w:rPr>
      </w:pPr>
    </w:p>
    <w:p w14:paraId="6BC44B05" w14:textId="77777777" w:rsidR="009B15D5" w:rsidRDefault="009B15D5">
      <w:pPr>
        <w:jc w:val="both"/>
        <w:rPr>
          <w:sz w:val="24"/>
        </w:rPr>
      </w:pPr>
      <w:r>
        <w:rPr>
          <w:sz w:val="24"/>
        </w:rPr>
        <w:t>All applications must be made on the full understanding that the Trustees are entitled in their absolute discretion to reject any application.  The Foundation will not provide explanations for unsuccessful applications.</w:t>
      </w:r>
    </w:p>
    <w:p w14:paraId="647EF2E1" w14:textId="77777777" w:rsidR="009B15D5" w:rsidRDefault="009B15D5">
      <w:pPr>
        <w:jc w:val="both"/>
        <w:rPr>
          <w:b/>
          <w:sz w:val="24"/>
        </w:rPr>
      </w:pPr>
    </w:p>
    <w:p w14:paraId="75388983" w14:textId="77777777" w:rsidR="009B15D5" w:rsidRDefault="009B15D5">
      <w:pPr>
        <w:jc w:val="both"/>
        <w:rPr>
          <w:b/>
          <w:sz w:val="24"/>
          <w:u w:val="single"/>
        </w:rPr>
      </w:pPr>
      <w:r>
        <w:rPr>
          <w:b/>
          <w:sz w:val="24"/>
        </w:rPr>
        <w:t>6.</w:t>
      </w:r>
      <w:r>
        <w:rPr>
          <w:b/>
          <w:sz w:val="24"/>
        </w:rPr>
        <w:tab/>
      </w:r>
      <w:r>
        <w:rPr>
          <w:b/>
          <w:sz w:val="24"/>
          <w:u w:val="single"/>
        </w:rPr>
        <w:t>Eligibility To Apply</w:t>
      </w:r>
    </w:p>
    <w:p w14:paraId="15005663" w14:textId="77777777" w:rsidR="009B15D5" w:rsidRDefault="009B15D5">
      <w:pPr>
        <w:jc w:val="both"/>
        <w:rPr>
          <w:sz w:val="24"/>
        </w:rPr>
      </w:pPr>
    </w:p>
    <w:p w14:paraId="48FEC7BD" w14:textId="77777777" w:rsidR="009B15D5" w:rsidRDefault="009B15D5">
      <w:pPr>
        <w:jc w:val="both"/>
        <w:rPr>
          <w:sz w:val="24"/>
        </w:rPr>
      </w:pPr>
      <w:r>
        <w:rPr>
          <w:sz w:val="24"/>
        </w:rPr>
        <w:t>Registered institutions and associations eligible to apply to the Foundation for a donation or grant are:</w:t>
      </w:r>
    </w:p>
    <w:p w14:paraId="71418B34" w14:textId="77777777" w:rsidR="009B15D5" w:rsidRDefault="009B15D5">
      <w:pPr>
        <w:numPr>
          <w:ilvl w:val="0"/>
          <w:numId w:val="1"/>
        </w:numPr>
        <w:jc w:val="both"/>
        <w:rPr>
          <w:sz w:val="24"/>
        </w:rPr>
      </w:pPr>
      <w:r>
        <w:rPr>
          <w:sz w:val="24"/>
        </w:rPr>
        <w:t>those managing, providing or intending to establish medical services for the poor and sick;</w:t>
      </w:r>
    </w:p>
    <w:p w14:paraId="7A863928" w14:textId="77777777" w:rsidR="009B15D5" w:rsidRDefault="009B15D5">
      <w:pPr>
        <w:numPr>
          <w:ilvl w:val="0"/>
          <w:numId w:val="1"/>
        </w:numPr>
        <w:jc w:val="both"/>
        <w:rPr>
          <w:sz w:val="24"/>
        </w:rPr>
      </w:pPr>
      <w:r>
        <w:rPr>
          <w:sz w:val="24"/>
        </w:rPr>
        <w:t>those providing medical education; and</w:t>
      </w:r>
    </w:p>
    <w:p w14:paraId="0A4BA9B2" w14:textId="77777777" w:rsidR="009B15D5" w:rsidRDefault="009B15D5">
      <w:pPr>
        <w:numPr>
          <w:ilvl w:val="0"/>
          <w:numId w:val="1"/>
        </w:numPr>
        <w:jc w:val="both"/>
        <w:rPr>
          <w:sz w:val="24"/>
        </w:rPr>
      </w:pPr>
      <w:r>
        <w:rPr>
          <w:sz w:val="24"/>
        </w:rPr>
        <w:t>charitable organizations providing medical services.</w:t>
      </w:r>
    </w:p>
    <w:p w14:paraId="13B9D660" w14:textId="77777777" w:rsidR="009B15D5" w:rsidRDefault="009B15D5">
      <w:pPr>
        <w:jc w:val="both"/>
        <w:rPr>
          <w:sz w:val="24"/>
        </w:rPr>
      </w:pPr>
    </w:p>
    <w:p w14:paraId="5B61EA01" w14:textId="77777777" w:rsidR="009B15D5" w:rsidRPr="002A0D9E" w:rsidRDefault="009B15D5">
      <w:pPr>
        <w:jc w:val="both"/>
        <w:rPr>
          <w:sz w:val="24"/>
        </w:rPr>
      </w:pPr>
      <w:r>
        <w:rPr>
          <w:sz w:val="24"/>
        </w:rPr>
        <w:t>Notes:</w:t>
      </w:r>
      <w:r>
        <w:rPr>
          <w:sz w:val="24"/>
        </w:rPr>
        <w:tab/>
        <w:t xml:space="preserve">1.  </w:t>
      </w:r>
      <w:r>
        <w:rPr>
          <w:rFonts w:hint="eastAsia"/>
          <w:sz w:val="24"/>
        </w:rPr>
        <w:t xml:space="preserve"> </w:t>
      </w:r>
      <w:r w:rsidRPr="002A0D9E">
        <w:rPr>
          <w:sz w:val="24"/>
        </w:rPr>
        <w:t>Medical includes dental and medical social work.</w:t>
      </w:r>
    </w:p>
    <w:p w14:paraId="565B0CFE" w14:textId="4BC62260" w:rsidR="009B15D5" w:rsidRPr="002A0D9E" w:rsidRDefault="004F4C11">
      <w:pPr>
        <w:numPr>
          <w:ilvl w:val="0"/>
          <w:numId w:val="2"/>
        </w:numPr>
        <w:jc w:val="both"/>
        <w:rPr>
          <w:sz w:val="24"/>
        </w:rPr>
      </w:pPr>
      <w:bookmarkStart w:id="0" w:name="_Hlk85532589"/>
      <w:r w:rsidRPr="002A0D9E">
        <w:rPr>
          <w:sz w:val="24"/>
        </w:rPr>
        <w:t>O</w:t>
      </w:r>
      <w:r w:rsidR="008672DF">
        <w:rPr>
          <w:sz w:val="24"/>
        </w:rPr>
        <w:t>nly</w:t>
      </w:r>
      <w:r w:rsidRPr="002A0D9E">
        <w:rPr>
          <w:sz w:val="24"/>
        </w:rPr>
        <w:t xml:space="preserve"> </w:t>
      </w:r>
      <w:r w:rsidR="00871B79">
        <w:rPr>
          <w:sz w:val="24"/>
        </w:rPr>
        <w:t xml:space="preserve">those applications for </w:t>
      </w:r>
      <w:r w:rsidR="009B15D5" w:rsidRPr="002A0D9E">
        <w:rPr>
          <w:rFonts w:hint="eastAsia"/>
          <w:sz w:val="24"/>
        </w:rPr>
        <w:t xml:space="preserve">projects </w:t>
      </w:r>
      <w:r w:rsidR="00871B79">
        <w:rPr>
          <w:sz w:val="24"/>
        </w:rPr>
        <w:t xml:space="preserve">which are </w:t>
      </w:r>
      <w:r w:rsidRPr="002A0D9E">
        <w:rPr>
          <w:sz w:val="24"/>
        </w:rPr>
        <w:t xml:space="preserve">heavily related to </w:t>
      </w:r>
      <w:r w:rsidR="00DA6A24" w:rsidRPr="002A0D9E">
        <w:rPr>
          <w:sz w:val="24"/>
        </w:rPr>
        <w:t xml:space="preserve">medical </w:t>
      </w:r>
      <w:r w:rsidRPr="002A0D9E">
        <w:rPr>
          <w:sz w:val="24"/>
        </w:rPr>
        <w:t>service</w:t>
      </w:r>
      <w:r w:rsidR="00DA6A24" w:rsidRPr="002A0D9E">
        <w:rPr>
          <w:sz w:val="24"/>
        </w:rPr>
        <w:t>s directly</w:t>
      </w:r>
      <w:r w:rsidRPr="002A0D9E">
        <w:rPr>
          <w:sz w:val="24"/>
        </w:rPr>
        <w:t xml:space="preserve"> </w:t>
      </w:r>
      <w:r w:rsidR="009B15D5" w:rsidRPr="002A0D9E">
        <w:rPr>
          <w:rFonts w:hint="eastAsia"/>
          <w:sz w:val="24"/>
        </w:rPr>
        <w:t>benefi</w:t>
      </w:r>
      <w:r w:rsidR="00E138E0" w:rsidRPr="002A0D9E">
        <w:rPr>
          <w:sz w:val="24"/>
        </w:rPr>
        <w:t>ci</w:t>
      </w:r>
      <w:r w:rsidR="00EE232D" w:rsidRPr="002A0D9E">
        <w:rPr>
          <w:sz w:val="24"/>
        </w:rPr>
        <w:t>al</w:t>
      </w:r>
      <w:r w:rsidR="00E138E0" w:rsidRPr="002A0D9E">
        <w:rPr>
          <w:sz w:val="24"/>
        </w:rPr>
        <w:t xml:space="preserve"> to</w:t>
      </w:r>
      <w:r w:rsidR="009B15D5" w:rsidRPr="002A0D9E">
        <w:rPr>
          <w:rFonts w:hint="eastAsia"/>
          <w:sz w:val="24"/>
        </w:rPr>
        <w:t xml:space="preserve"> the poor and sick will be considered.</w:t>
      </w:r>
    </w:p>
    <w:bookmarkEnd w:id="0"/>
    <w:p w14:paraId="7E0E43F0" w14:textId="77777777" w:rsidR="009B15D5" w:rsidRDefault="009B15D5">
      <w:pPr>
        <w:numPr>
          <w:ilvl w:val="0"/>
          <w:numId w:val="2"/>
        </w:numPr>
        <w:jc w:val="both"/>
        <w:rPr>
          <w:sz w:val="24"/>
        </w:rPr>
      </w:pPr>
      <w:r>
        <w:rPr>
          <w:sz w:val="24"/>
        </w:rPr>
        <w:t>Projects normally funded by The Research Grants Council of Hong Kong,</w:t>
      </w:r>
      <w:r>
        <w:rPr>
          <w:rFonts w:hint="eastAsia"/>
          <w:sz w:val="24"/>
        </w:rPr>
        <w:t xml:space="preserve"> health research funds administered under the purview of the Research Office of the</w:t>
      </w:r>
      <w:r w:rsidR="000E694E">
        <w:rPr>
          <w:rFonts w:hint="eastAsia"/>
          <w:sz w:val="24"/>
        </w:rPr>
        <w:t xml:space="preserve"> Food and</w:t>
      </w:r>
      <w:r>
        <w:rPr>
          <w:rFonts w:hint="eastAsia"/>
          <w:sz w:val="24"/>
        </w:rPr>
        <w:t xml:space="preserve"> Health Bureau</w:t>
      </w:r>
      <w:r>
        <w:rPr>
          <w:sz w:val="24"/>
        </w:rPr>
        <w:t xml:space="preserve"> and AIDS Trust Fund will not be considered.</w:t>
      </w:r>
    </w:p>
    <w:p w14:paraId="04513BF6" w14:textId="77777777" w:rsidR="00414CB0" w:rsidRPr="00745739" w:rsidRDefault="00414CB0">
      <w:pPr>
        <w:numPr>
          <w:ilvl w:val="0"/>
          <w:numId w:val="2"/>
        </w:numPr>
        <w:jc w:val="both"/>
        <w:rPr>
          <w:sz w:val="24"/>
        </w:rPr>
      </w:pPr>
      <w:r w:rsidRPr="00745739">
        <w:rPr>
          <w:rFonts w:hint="eastAsia"/>
          <w:sz w:val="24"/>
          <w:lang w:eastAsia="zh-HK"/>
        </w:rPr>
        <w:t>Project</w:t>
      </w:r>
      <w:r w:rsidR="00393495" w:rsidRPr="00745739">
        <w:rPr>
          <w:rFonts w:hint="eastAsia"/>
          <w:sz w:val="24"/>
          <w:lang w:eastAsia="zh-HK"/>
        </w:rPr>
        <w:t>s</w:t>
      </w:r>
      <w:r w:rsidRPr="00745739">
        <w:rPr>
          <w:rFonts w:hint="eastAsia"/>
          <w:sz w:val="24"/>
          <w:lang w:eastAsia="zh-HK"/>
        </w:rPr>
        <w:t xml:space="preserve"> are normally supported for a defined period and </w:t>
      </w:r>
      <w:r w:rsidR="00393495" w:rsidRPr="00745739">
        <w:rPr>
          <w:rFonts w:hint="eastAsia"/>
          <w:sz w:val="24"/>
          <w:lang w:eastAsia="zh-HK"/>
        </w:rPr>
        <w:t>are</w:t>
      </w:r>
      <w:r w:rsidRPr="00745739">
        <w:rPr>
          <w:rFonts w:hint="eastAsia"/>
          <w:sz w:val="24"/>
          <w:lang w:eastAsia="zh-HK"/>
        </w:rPr>
        <w:t xml:space="preserve"> not intended </w:t>
      </w:r>
      <w:r w:rsidR="003A0FBA">
        <w:rPr>
          <w:rFonts w:hint="eastAsia"/>
          <w:sz w:val="24"/>
        </w:rPr>
        <w:t>to be</w:t>
      </w:r>
      <w:r w:rsidRPr="00745739">
        <w:rPr>
          <w:rFonts w:hint="eastAsia"/>
          <w:sz w:val="24"/>
          <w:lang w:eastAsia="zh-HK"/>
        </w:rPr>
        <w:t xml:space="preserve"> a source of recurrent and </w:t>
      </w:r>
      <w:proofErr w:type="gramStart"/>
      <w:r w:rsidRPr="00745739">
        <w:rPr>
          <w:rFonts w:hint="eastAsia"/>
          <w:sz w:val="24"/>
          <w:lang w:eastAsia="zh-HK"/>
        </w:rPr>
        <w:t>long term</w:t>
      </w:r>
      <w:proofErr w:type="gramEnd"/>
      <w:r w:rsidRPr="00745739">
        <w:rPr>
          <w:rFonts w:hint="eastAsia"/>
          <w:sz w:val="24"/>
          <w:lang w:eastAsia="zh-HK"/>
        </w:rPr>
        <w:t xml:space="preserve"> funding.</w:t>
      </w:r>
    </w:p>
    <w:p w14:paraId="3B7603E4" w14:textId="77777777" w:rsidR="009B15D5" w:rsidRPr="00393495" w:rsidRDefault="009B15D5">
      <w:pPr>
        <w:ind w:left="720" w:hanging="720"/>
        <w:jc w:val="both"/>
        <w:rPr>
          <w:sz w:val="24"/>
        </w:rPr>
      </w:pPr>
    </w:p>
    <w:p w14:paraId="39800C28" w14:textId="77777777" w:rsidR="009B15D5" w:rsidRDefault="009B15D5">
      <w:pPr>
        <w:jc w:val="both"/>
        <w:rPr>
          <w:b/>
          <w:sz w:val="24"/>
        </w:rPr>
      </w:pPr>
      <w:r>
        <w:rPr>
          <w:b/>
          <w:sz w:val="24"/>
        </w:rPr>
        <w:t>7.</w:t>
      </w:r>
      <w:r>
        <w:rPr>
          <w:b/>
          <w:sz w:val="24"/>
        </w:rPr>
        <w:tab/>
      </w:r>
      <w:r>
        <w:rPr>
          <w:b/>
          <w:sz w:val="24"/>
          <w:u w:val="single"/>
        </w:rPr>
        <w:t>Allocation Of Support</w:t>
      </w:r>
    </w:p>
    <w:p w14:paraId="005F3B91" w14:textId="77777777" w:rsidR="009B15D5" w:rsidRDefault="009B15D5">
      <w:pPr>
        <w:jc w:val="both"/>
        <w:rPr>
          <w:sz w:val="24"/>
        </w:rPr>
      </w:pPr>
    </w:p>
    <w:p w14:paraId="607CE5C4" w14:textId="77777777" w:rsidR="009B15D5" w:rsidRDefault="009B15D5">
      <w:pPr>
        <w:jc w:val="both"/>
        <w:rPr>
          <w:sz w:val="24"/>
        </w:rPr>
      </w:pPr>
      <w:r>
        <w:rPr>
          <w:sz w:val="24"/>
        </w:rPr>
        <w:t>7.1</w:t>
      </w:r>
      <w:r>
        <w:rPr>
          <w:sz w:val="24"/>
        </w:rPr>
        <w:tab/>
      </w:r>
      <w:r>
        <w:rPr>
          <w:b/>
          <w:sz w:val="24"/>
        </w:rPr>
        <w:t>Applications</w:t>
      </w:r>
    </w:p>
    <w:p w14:paraId="328783F8" w14:textId="77777777" w:rsidR="009B15D5" w:rsidRDefault="009B15D5">
      <w:pPr>
        <w:pStyle w:val="BodyTextIndent"/>
      </w:pPr>
      <w:r>
        <w:t>Applications for support such as donations or grants are invited from relevant registered institutions and associations each year.  Project proposals received are categorized according to the following principal usage for consideration by the Trustees:</w:t>
      </w:r>
    </w:p>
    <w:p w14:paraId="13DE9B4F" w14:textId="77777777" w:rsidR="009B15D5" w:rsidRDefault="009B15D5">
      <w:pPr>
        <w:jc w:val="both"/>
        <w:rPr>
          <w:sz w:val="24"/>
        </w:rPr>
      </w:pPr>
    </w:p>
    <w:p w14:paraId="5DF8F3D9" w14:textId="77777777" w:rsidR="009B15D5" w:rsidRDefault="009B15D5">
      <w:pPr>
        <w:ind w:left="720" w:hanging="720"/>
        <w:jc w:val="both"/>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7.1.1</w:t>
        </w:r>
        <w:r>
          <w:rPr>
            <w:sz w:val="24"/>
          </w:rPr>
          <w:tab/>
        </w:r>
      </w:smartTag>
      <w:r>
        <w:rPr>
          <w:b/>
          <w:sz w:val="24"/>
        </w:rPr>
        <w:t>Establishment of medical services for the poor and sick and the provision of equipment and apparatus for such services</w:t>
      </w:r>
    </w:p>
    <w:p w14:paraId="75958A27" w14:textId="08E1C5E0" w:rsidR="00135C06" w:rsidRDefault="009B15D5" w:rsidP="00135C06">
      <w:pPr>
        <w:ind w:left="720"/>
        <w:jc w:val="both"/>
        <w:rPr>
          <w:sz w:val="24"/>
        </w:rPr>
      </w:pPr>
      <w:r>
        <w:rPr>
          <w:sz w:val="24"/>
        </w:rPr>
        <w:t>The purpose of this category of funding is to enable registered institutions and associations to manage or to establish and manage medical services for the poor and sick.  This may primarily include the acquisition of equipment and apparatus for such services</w:t>
      </w:r>
      <w:r w:rsidR="00135C06">
        <w:rPr>
          <w:sz w:val="24"/>
        </w:rPr>
        <w:t>, acquisition of land and buildings, funds for administration and operation such as recruitment and training of staff.</w:t>
      </w:r>
    </w:p>
    <w:p w14:paraId="1A0B8B49" w14:textId="77777777" w:rsidR="009B15D5" w:rsidRPr="00FB4DCA" w:rsidRDefault="009B15D5">
      <w:pPr>
        <w:jc w:val="both"/>
        <w:rPr>
          <w:sz w:val="24"/>
        </w:rPr>
      </w:pPr>
    </w:p>
    <w:p w14:paraId="47EB29AA" w14:textId="77777777" w:rsidR="009B15D5" w:rsidRDefault="009B15D5">
      <w:pPr>
        <w:jc w:val="both"/>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7.1.2</w:t>
        </w:r>
        <w:r>
          <w:rPr>
            <w:sz w:val="24"/>
          </w:rPr>
          <w:tab/>
        </w:r>
        <w:r>
          <w:rPr>
            <w:b/>
            <w:sz w:val="24"/>
          </w:rPr>
          <w:t>P</w:t>
        </w:r>
      </w:smartTag>
      <w:r>
        <w:rPr>
          <w:b/>
          <w:sz w:val="24"/>
        </w:rPr>
        <w:t>rovision of medical education</w:t>
      </w:r>
    </w:p>
    <w:p w14:paraId="23AA36CD" w14:textId="0294AAA6" w:rsidR="009B15D5" w:rsidRPr="002A0D9E" w:rsidRDefault="009B15D5">
      <w:pPr>
        <w:ind w:left="720"/>
        <w:jc w:val="both"/>
        <w:rPr>
          <w:sz w:val="24"/>
          <w:lang w:eastAsia="zh-HK"/>
        </w:rPr>
      </w:pPr>
      <w:r>
        <w:rPr>
          <w:sz w:val="24"/>
        </w:rPr>
        <w:t xml:space="preserve">The purpose of this category of funding is to enable registered institutions or associations providing or intending to provide medical education to do so for the eventual benefit of the poor and sick.  This extends beyond the annual donations in the form of medical </w:t>
      </w:r>
      <w:r w:rsidR="00096496">
        <w:rPr>
          <w:rFonts w:hint="eastAsia"/>
          <w:sz w:val="24"/>
          <w:lang w:eastAsia="zh-HK"/>
        </w:rPr>
        <w:t>bursaries</w:t>
      </w:r>
      <w:r>
        <w:rPr>
          <w:sz w:val="24"/>
        </w:rPr>
        <w:t xml:space="preserve"> to students currently made to The University of Hong Kong, The Chinese University of Hong Kong</w:t>
      </w:r>
      <w:r w:rsidR="00096496">
        <w:rPr>
          <w:rFonts w:hint="eastAsia"/>
          <w:sz w:val="24"/>
          <w:lang w:eastAsia="zh-HK"/>
        </w:rPr>
        <w:t>,</w:t>
      </w:r>
      <w:r>
        <w:rPr>
          <w:sz w:val="24"/>
        </w:rPr>
        <w:t xml:space="preserve"> The H</w:t>
      </w:r>
      <w:r w:rsidR="00096496">
        <w:rPr>
          <w:sz w:val="24"/>
        </w:rPr>
        <w:t>ong Kong Polytechnic University</w:t>
      </w:r>
      <w:r w:rsidR="00096496">
        <w:rPr>
          <w:rFonts w:hint="eastAsia"/>
          <w:sz w:val="24"/>
          <w:lang w:eastAsia="zh-HK"/>
        </w:rPr>
        <w:t xml:space="preserve">, </w:t>
      </w:r>
      <w:r w:rsidR="00BC2CE3">
        <w:rPr>
          <w:rFonts w:hint="eastAsia"/>
          <w:sz w:val="24"/>
          <w:lang w:eastAsia="zh-HK"/>
        </w:rPr>
        <w:t xml:space="preserve">Hong Kong Baptist </w:t>
      </w:r>
      <w:r w:rsidR="00BC2CE3" w:rsidRPr="002A0D9E">
        <w:rPr>
          <w:rFonts w:hint="eastAsia"/>
          <w:sz w:val="24"/>
          <w:lang w:eastAsia="zh-HK"/>
        </w:rPr>
        <w:t>University</w:t>
      </w:r>
      <w:r w:rsidR="00E138E0" w:rsidRPr="002A0D9E">
        <w:rPr>
          <w:sz w:val="24"/>
          <w:lang w:eastAsia="zh-HK"/>
        </w:rPr>
        <w:t>, Caritas Institute of Higher Education</w:t>
      </w:r>
      <w:r w:rsidR="00BC2CE3" w:rsidRPr="002A0D9E">
        <w:rPr>
          <w:rFonts w:hint="eastAsia"/>
          <w:sz w:val="24"/>
          <w:lang w:eastAsia="zh-HK"/>
        </w:rPr>
        <w:t xml:space="preserve"> and </w:t>
      </w:r>
      <w:bookmarkStart w:id="1" w:name="_Hlk85532406"/>
      <w:r w:rsidR="00E138E0" w:rsidRPr="002A0D9E">
        <w:rPr>
          <w:rFonts w:hint="eastAsia"/>
          <w:sz w:val="24"/>
          <w:lang w:eastAsia="zh-HK"/>
        </w:rPr>
        <w:t xml:space="preserve">Hong Kong </w:t>
      </w:r>
      <w:r w:rsidR="00E138E0" w:rsidRPr="002A0D9E">
        <w:rPr>
          <w:sz w:val="24"/>
          <w:lang w:eastAsia="zh-HK"/>
        </w:rPr>
        <w:t xml:space="preserve">Metropolitan </w:t>
      </w:r>
      <w:r w:rsidR="00BC2CE3" w:rsidRPr="002A0D9E">
        <w:rPr>
          <w:rFonts w:hint="eastAsia"/>
          <w:sz w:val="24"/>
          <w:lang w:eastAsia="zh-HK"/>
        </w:rPr>
        <w:t>University</w:t>
      </w:r>
      <w:bookmarkEnd w:id="1"/>
      <w:r w:rsidR="00BC2CE3" w:rsidRPr="002A0D9E">
        <w:rPr>
          <w:rFonts w:hint="eastAsia"/>
          <w:sz w:val="24"/>
          <w:lang w:eastAsia="zh-HK"/>
        </w:rPr>
        <w:t>.</w:t>
      </w:r>
    </w:p>
    <w:p w14:paraId="54051A5B" w14:textId="77777777" w:rsidR="009B15D5" w:rsidRPr="002A0D9E" w:rsidRDefault="009B15D5">
      <w:pPr>
        <w:jc w:val="both"/>
        <w:rPr>
          <w:sz w:val="24"/>
        </w:rPr>
      </w:pPr>
    </w:p>
    <w:p w14:paraId="62D104A0" w14:textId="77777777" w:rsidR="009B15D5" w:rsidRDefault="009B15D5">
      <w:pPr>
        <w:ind w:left="720" w:hanging="720"/>
        <w:jc w:val="both"/>
        <w:rPr>
          <w:b/>
          <w:sz w:val="24"/>
        </w:rPr>
      </w:pPr>
      <w:smartTag w:uri="urn:schemas-microsoft-com:office:smarttags" w:element="chsdate">
        <w:smartTagPr>
          <w:attr w:name="IsROCDate" w:val="False"/>
          <w:attr w:name="IsLunarDate" w:val="False"/>
          <w:attr w:name="Day" w:val="30"/>
          <w:attr w:name="Month" w:val="12"/>
          <w:attr w:name="Year" w:val="1899"/>
        </w:smartTagPr>
        <w:r>
          <w:rPr>
            <w:sz w:val="24"/>
          </w:rPr>
          <w:t>7.1.3</w:t>
        </w:r>
        <w:r>
          <w:rPr>
            <w:sz w:val="24"/>
          </w:rPr>
          <w:tab/>
        </w:r>
        <w:r>
          <w:rPr>
            <w:b/>
            <w:sz w:val="24"/>
          </w:rPr>
          <w:t>A</w:t>
        </w:r>
      </w:smartTag>
      <w:r>
        <w:rPr>
          <w:b/>
          <w:sz w:val="24"/>
        </w:rPr>
        <w:t>cquisition and/or construction maintenance and/or alteration of any buildings or works relevant to the provision of medical services or medical education</w:t>
      </w:r>
    </w:p>
    <w:p w14:paraId="07AB59BA" w14:textId="77777777" w:rsidR="009B15D5" w:rsidRDefault="009B15D5">
      <w:pPr>
        <w:ind w:left="720"/>
        <w:jc w:val="both"/>
        <w:rPr>
          <w:sz w:val="24"/>
        </w:rPr>
      </w:pPr>
      <w:r>
        <w:rPr>
          <w:sz w:val="24"/>
        </w:rPr>
        <w:t>The purpose of this category of funding is to acquire, construct, maintain and/or alter any buildings or works necessary or convenient for the establishment of medical services for the poor and sick and medical education, including the provision of equipment and apparatus.</w:t>
      </w:r>
    </w:p>
    <w:p w14:paraId="539DE1C0" w14:textId="77777777" w:rsidR="00EE74F2" w:rsidRDefault="00EE74F2">
      <w:pPr>
        <w:ind w:left="720"/>
        <w:jc w:val="both"/>
        <w:rPr>
          <w:sz w:val="24"/>
        </w:rPr>
      </w:pPr>
    </w:p>
    <w:p w14:paraId="6AEA70E4" w14:textId="77777777" w:rsidR="00EE74F2" w:rsidRDefault="00EE74F2">
      <w:pPr>
        <w:ind w:left="720"/>
        <w:jc w:val="both"/>
        <w:rPr>
          <w:sz w:val="24"/>
        </w:rPr>
      </w:pPr>
    </w:p>
    <w:p w14:paraId="1265D2E1" w14:textId="5C61AB92" w:rsidR="009B15D5" w:rsidRDefault="009B15D5" w:rsidP="00924BE9">
      <w:pPr>
        <w:jc w:val="right"/>
        <w:rPr>
          <w:sz w:val="24"/>
        </w:rPr>
      </w:pPr>
      <w:r>
        <w:rPr>
          <w:sz w:val="24"/>
        </w:rPr>
        <w:t>/.....3</w:t>
      </w:r>
      <w:r>
        <w:rPr>
          <w:sz w:val="24"/>
        </w:rPr>
        <w:br w:type="page"/>
      </w:r>
    </w:p>
    <w:p w14:paraId="6757C95E" w14:textId="77777777" w:rsidR="009B15D5" w:rsidRDefault="009B15D5">
      <w:pPr>
        <w:jc w:val="center"/>
        <w:rPr>
          <w:sz w:val="24"/>
        </w:rPr>
      </w:pPr>
      <w:r>
        <w:rPr>
          <w:sz w:val="24"/>
        </w:rPr>
        <w:lastRenderedPageBreak/>
        <w:t>-  3  -</w:t>
      </w:r>
    </w:p>
    <w:p w14:paraId="2DD50DDD" w14:textId="77777777" w:rsidR="009B15D5" w:rsidRDefault="009B15D5">
      <w:pPr>
        <w:ind w:left="720" w:hanging="720"/>
        <w:jc w:val="both"/>
        <w:rPr>
          <w:sz w:val="24"/>
        </w:rPr>
      </w:pPr>
    </w:p>
    <w:p w14:paraId="6181B4A5" w14:textId="77777777" w:rsidR="009B15D5" w:rsidRDefault="009B15D5">
      <w:pPr>
        <w:ind w:left="720" w:hanging="720"/>
        <w:jc w:val="both"/>
        <w:rPr>
          <w:b/>
          <w:sz w:val="24"/>
        </w:rPr>
      </w:pPr>
      <w:smartTag w:uri="urn:schemas-microsoft-com:office:smarttags" w:element="chsdate">
        <w:smartTagPr>
          <w:attr w:name="IsROCDate" w:val="False"/>
          <w:attr w:name="IsLunarDate" w:val="False"/>
          <w:attr w:name="Day" w:val="30"/>
          <w:attr w:name="Month" w:val="12"/>
          <w:attr w:name="Year" w:val="1899"/>
        </w:smartTagPr>
        <w:r>
          <w:rPr>
            <w:sz w:val="24"/>
          </w:rPr>
          <w:t>7.1.4</w:t>
        </w:r>
        <w:r>
          <w:rPr>
            <w:sz w:val="24"/>
          </w:rPr>
          <w:tab/>
        </w:r>
        <w:r>
          <w:rPr>
            <w:b/>
            <w:sz w:val="24"/>
          </w:rPr>
          <w:t>A</w:t>
        </w:r>
      </w:smartTag>
      <w:r>
        <w:rPr>
          <w:b/>
          <w:sz w:val="24"/>
        </w:rPr>
        <w:t>ssistance in support of charitable organizations providing medical services for the poor and sick</w:t>
      </w:r>
    </w:p>
    <w:p w14:paraId="47FC0438" w14:textId="77777777" w:rsidR="009B15D5" w:rsidRDefault="009B15D5">
      <w:pPr>
        <w:ind w:left="720"/>
        <w:jc w:val="both"/>
        <w:rPr>
          <w:sz w:val="24"/>
        </w:rPr>
      </w:pPr>
      <w:r>
        <w:rPr>
          <w:sz w:val="24"/>
        </w:rPr>
        <w:t>The purpose of this category of funding is to assist, promote, establish, contribute, manage, control or support any charitable organization providing medical services for the poor and sick.</w:t>
      </w:r>
    </w:p>
    <w:p w14:paraId="2A3AAFDD" w14:textId="77777777" w:rsidR="009B15D5" w:rsidRDefault="009B15D5">
      <w:pPr>
        <w:ind w:left="720" w:hanging="720"/>
        <w:jc w:val="both"/>
        <w:rPr>
          <w:sz w:val="24"/>
        </w:rPr>
      </w:pPr>
    </w:p>
    <w:p w14:paraId="28796AC2" w14:textId="77777777" w:rsidR="009B15D5" w:rsidRDefault="009B15D5">
      <w:pPr>
        <w:ind w:left="720" w:hanging="720"/>
        <w:jc w:val="both"/>
        <w:rPr>
          <w:b/>
          <w:sz w:val="24"/>
        </w:rPr>
      </w:pPr>
      <w:r>
        <w:rPr>
          <w:sz w:val="24"/>
        </w:rPr>
        <w:t>7.2</w:t>
      </w:r>
      <w:r>
        <w:rPr>
          <w:sz w:val="24"/>
        </w:rPr>
        <w:tab/>
      </w:r>
      <w:r>
        <w:rPr>
          <w:b/>
          <w:sz w:val="24"/>
        </w:rPr>
        <w:t>Processing</w:t>
      </w:r>
    </w:p>
    <w:p w14:paraId="5501542A" w14:textId="77777777" w:rsidR="009B15D5" w:rsidRDefault="009B15D5">
      <w:pPr>
        <w:ind w:left="720" w:hanging="720"/>
        <w:jc w:val="both"/>
        <w:rPr>
          <w:sz w:val="24"/>
        </w:rPr>
      </w:pPr>
    </w:p>
    <w:p w14:paraId="2F06B83C" w14:textId="77777777" w:rsidR="009B15D5" w:rsidRDefault="009B15D5">
      <w:pPr>
        <w:pStyle w:val="BodyTextIndent2"/>
      </w:pPr>
      <w:smartTag w:uri="urn:schemas-microsoft-com:office:smarttags" w:element="chsdate">
        <w:smartTagPr>
          <w:attr w:name="IsROCDate" w:val="False"/>
          <w:attr w:name="IsLunarDate" w:val="False"/>
          <w:attr w:name="Day" w:val="30"/>
          <w:attr w:name="Month" w:val="12"/>
          <w:attr w:name="Year" w:val="1899"/>
        </w:smartTagPr>
        <w:r>
          <w:t>7.2.1</w:t>
        </w:r>
        <w:r>
          <w:tab/>
        </w:r>
      </w:smartTag>
      <w:r>
        <w:t xml:space="preserve">Upon receipt of the application, an acknowledgement will be sent to the project leader and copied to the institution or association concerned and the overseeing organization, if any.  A </w:t>
      </w:r>
      <w:r>
        <w:rPr>
          <w:rFonts w:hint="eastAsia"/>
        </w:rPr>
        <w:t>project</w:t>
      </w:r>
      <w:r>
        <w:t xml:space="preserve"> number will be assigned to each application and should be quoted in all future communication with the Foundation relating to the project.</w:t>
      </w:r>
    </w:p>
    <w:p w14:paraId="2FD69BA2" w14:textId="77777777" w:rsidR="009B15D5" w:rsidRDefault="009B15D5">
      <w:pPr>
        <w:ind w:left="720" w:hanging="720"/>
        <w:jc w:val="both"/>
        <w:rPr>
          <w:sz w:val="24"/>
        </w:rPr>
      </w:pPr>
    </w:p>
    <w:p w14:paraId="571D546A" w14:textId="77777777" w:rsidR="009B15D5" w:rsidRDefault="009B15D5">
      <w:pPr>
        <w:ind w:left="720" w:hanging="720"/>
        <w:jc w:val="both"/>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7.2.2</w:t>
        </w:r>
        <w:r>
          <w:rPr>
            <w:sz w:val="24"/>
          </w:rPr>
          <w:tab/>
        </w:r>
      </w:smartTag>
      <w:r>
        <w:rPr>
          <w:sz w:val="24"/>
        </w:rPr>
        <w:t>Registered institutions and associations may be requested to provide additional information, and senior management, project leader, and/or team members may be invited to attend interviews or presentation sessions to assist referees and the Trustees in their consideration of the project proposal.  The Trustees may seek independent expert opinion at their discretion to assist in decision making as it deems fit.</w:t>
      </w:r>
    </w:p>
    <w:p w14:paraId="1B3C5A0D" w14:textId="77777777" w:rsidR="009B15D5" w:rsidRDefault="009B15D5">
      <w:pPr>
        <w:ind w:left="720" w:hanging="720"/>
        <w:jc w:val="both"/>
        <w:rPr>
          <w:sz w:val="24"/>
        </w:rPr>
      </w:pPr>
    </w:p>
    <w:p w14:paraId="75575BA4" w14:textId="77777777" w:rsidR="009B15D5" w:rsidRDefault="009B15D5">
      <w:pPr>
        <w:jc w:val="both"/>
        <w:rPr>
          <w:b/>
          <w:sz w:val="24"/>
        </w:rPr>
      </w:pPr>
      <w:r>
        <w:rPr>
          <w:sz w:val="24"/>
        </w:rPr>
        <w:t>7.3</w:t>
      </w:r>
      <w:r>
        <w:rPr>
          <w:sz w:val="24"/>
        </w:rPr>
        <w:tab/>
      </w:r>
      <w:r>
        <w:rPr>
          <w:b/>
          <w:sz w:val="24"/>
        </w:rPr>
        <w:t>Selection by Trustees</w:t>
      </w:r>
    </w:p>
    <w:p w14:paraId="3363A840" w14:textId="77777777" w:rsidR="009B15D5" w:rsidRDefault="009B15D5">
      <w:pPr>
        <w:ind w:left="720"/>
        <w:jc w:val="both"/>
        <w:rPr>
          <w:sz w:val="24"/>
        </w:rPr>
      </w:pPr>
      <w:r>
        <w:rPr>
          <w:sz w:val="24"/>
        </w:rPr>
        <w:t>Whilst the Trustees will consider each application carefully, the Trustees reserve the right to refuse assistance in whole or in part for any reason whatsoever nor will the Trustees provide any reason for refusal.</w:t>
      </w:r>
    </w:p>
    <w:p w14:paraId="113A7AE4" w14:textId="77777777" w:rsidR="009B15D5" w:rsidRDefault="009B15D5">
      <w:pPr>
        <w:jc w:val="both"/>
        <w:rPr>
          <w:sz w:val="24"/>
        </w:rPr>
      </w:pPr>
    </w:p>
    <w:p w14:paraId="0B8935ED" w14:textId="77777777" w:rsidR="009B15D5" w:rsidRDefault="009B15D5">
      <w:pPr>
        <w:jc w:val="both"/>
        <w:rPr>
          <w:b/>
          <w:sz w:val="24"/>
        </w:rPr>
      </w:pPr>
      <w:r>
        <w:rPr>
          <w:sz w:val="24"/>
        </w:rPr>
        <w:t>7.4</w:t>
      </w:r>
      <w:r>
        <w:rPr>
          <w:sz w:val="24"/>
        </w:rPr>
        <w:tab/>
      </w:r>
      <w:r>
        <w:rPr>
          <w:b/>
          <w:sz w:val="24"/>
        </w:rPr>
        <w:t>Notification</w:t>
      </w:r>
    </w:p>
    <w:p w14:paraId="29E6884F" w14:textId="77777777" w:rsidR="009B15D5" w:rsidRDefault="009B15D5">
      <w:pPr>
        <w:ind w:left="720"/>
        <w:jc w:val="both"/>
        <w:rPr>
          <w:sz w:val="24"/>
        </w:rPr>
      </w:pPr>
      <w:r>
        <w:rPr>
          <w:sz w:val="24"/>
        </w:rPr>
        <w:t>Applicants will be notified of their application results in writing once a decision is made by the Trustees.</w:t>
      </w:r>
    </w:p>
    <w:p w14:paraId="0C0815EB" w14:textId="77777777" w:rsidR="009B15D5" w:rsidRDefault="009B15D5">
      <w:pPr>
        <w:jc w:val="both"/>
        <w:rPr>
          <w:sz w:val="24"/>
        </w:rPr>
      </w:pPr>
    </w:p>
    <w:p w14:paraId="2D3D9C55" w14:textId="77777777" w:rsidR="009B15D5" w:rsidRDefault="009B15D5">
      <w:pPr>
        <w:jc w:val="both"/>
        <w:rPr>
          <w:b/>
          <w:sz w:val="24"/>
        </w:rPr>
      </w:pPr>
      <w:r>
        <w:rPr>
          <w:sz w:val="24"/>
        </w:rPr>
        <w:t>7.5</w:t>
      </w:r>
      <w:r>
        <w:rPr>
          <w:sz w:val="24"/>
        </w:rPr>
        <w:tab/>
      </w:r>
      <w:r>
        <w:rPr>
          <w:b/>
          <w:sz w:val="24"/>
        </w:rPr>
        <w:t>Encouragement of co-operation</w:t>
      </w:r>
    </w:p>
    <w:p w14:paraId="2FA3390E" w14:textId="77777777" w:rsidR="009B15D5" w:rsidRDefault="009B15D5">
      <w:pPr>
        <w:pStyle w:val="BodyTextIndent"/>
      </w:pPr>
      <w:r>
        <w:t>In order to maximize cost-effectiveness of donations or grants and to minimize wastage from duplication of resources, different registered institutions or associations submitting identical or largely similar proposals will be encouraged to collaborate and co-operate, and submit joint applications, with one of the registered institutions or associations being the principal applicant and the other parties being the co-applicant(s).  The Foundation will communicate directly with the principal applicant via the overseeing organization, if any, in matters relating to the project and the principal applicant is obliged to convey the contents of such communication to co-applicants promptly.</w:t>
      </w:r>
    </w:p>
    <w:p w14:paraId="23D08F33" w14:textId="77777777" w:rsidR="009B15D5" w:rsidRDefault="009B15D5">
      <w:pPr>
        <w:jc w:val="both"/>
        <w:rPr>
          <w:sz w:val="24"/>
        </w:rPr>
      </w:pPr>
    </w:p>
    <w:p w14:paraId="13126B73" w14:textId="77777777" w:rsidR="009B15D5" w:rsidRDefault="009B15D5">
      <w:pPr>
        <w:jc w:val="both"/>
        <w:rPr>
          <w:b/>
          <w:sz w:val="24"/>
        </w:rPr>
      </w:pPr>
      <w:r>
        <w:rPr>
          <w:sz w:val="24"/>
        </w:rPr>
        <w:t>7.6</w:t>
      </w:r>
      <w:r>
        <w:rPr>
          <w:sz w:val="24"/>
        </w:rPr>
        <w:tab/>
      </w:r>
      <w:r>
        <w:rPr>
          <w:b/>
          <w:sz w:val="24"/>
        </w:rPr>
        <w:t>Ethics</w:t>
      </w:r>
    </w:p>
    <w:p w14:paraId="44B0DF09" w14:textId="77777777" w:rsidR="009B15D5" w:rsidRDefault="009B15D5">
      <w:pPr>
        <w:ind w:left="720"/>
        <w:jc w:val="both"/>
        <w:rPr>
          <w:sz w:val="24"/>
        </w:rPr>
      </w:pPr>
      <w:r>
        <w:rPr>
          <w:sz w:val="24"/>
        </w:rPr>
        <w:t>Applicants are expected to use their utmost good faith and abide by their professional ethics in their dealings with the Foundation.  The Foundation reserves the right to take such action as it sees fit against applicants for fraudulent practices or malpractices in connection with their applications or conduct of the project concerned, or for misappropriation of allocated resources.  Such action may include complaints to the relevant institution or professional body for misconduct as well as legal action for the refund of donations or grants received or spent on the project concerned to the Foundation.</w:t>
      </w:r>
    </w:p>
    <w:p w14:paraId="50694851" w14:textId="77777777" w:rsidR="009B15D5" w:rsidRDefault="009B15D5">
      <w:pPr>
        <w:jc w:val="both"/>
        <w:rPr>
          <w:sz w:val="24"/>
        </w:rPr>
      </w:pPr>
    </w:p>
    <w:p w14:paraId="7208226A" w14:textId="77777777" w:rsidR="009B15D5" w:rsidRDefault="009B15D5">
      <w:pPr>
        <w:jc w:val="both"/>
        <w:rPr>
          <w:sz w:val="24"/>
        </w:rPr>
      </w:pPr>
    </w:p>
    <w:p w14:paraId="3D1D384A" w14:textId="77777777" w:rsidR="009B15D5" w:rsidRDefault="009B15D5">
      <w:pPr>
        <w:jc w:val="both"/>
        <w:rPr>
          <w:sz w:val="24"/>
        </w:rPr>
      </w:pPr>
    </w:p>
    <w:p w14:paraId="25054B6C" w14:textId="074F1682" w:rsidR="0035083D" w:rsidRPr="00805BB6" w:rsidRDefault="009B15D5">
      <w:pPr>
        <w:jc w:val="both"/>
        <w:rPr>
          <w:sz w:val="20"/>
        </w:rPr>
      </w:pPr>
      <w:r>
        <w:rPr>
          <w:sz w:val="20"/>
        </w:rPr>
        <w:t>(</w:t>
      </w:r>
      <w:r w:rsidR="009F0403">
        <w:rPr>
          <w:rFonts w:hint="eastAsia"/>
          <w:sz w:val="20"/>
        </w:rPr>
        <w:t>Dec</w:t>
      </w:r>
      <w:r w:rsidR="00942E82">
        <w:rPr>
          <w:rFonts w:hint="eastAsia"/>
          <w:sz w:val="20"/>
        </w:rPr>
        <w:t>ember</w:t>
      </w:r>
      <w:r>
        <w:rPr>
          <w:sz w:val="20"/>
        </w:rPr>
        <w:t xml:space="preserve"> 20</w:t>
      </w:r>
      <w:r w:rsidR="00EC795A">
        <w:rPr>
          <w:sz w:val="20"/>
        </w:rPr>
        <w:t>2</w:t>
      </w:r>
      <w:r w:rsidR="00924BE9">
        <w:rPr>
          <w:sz w:val="20"/>
        </w:rPr>
        <w:t>1</w:t>
      </w:r>
      <w:r w:rsidR="000552C3">
        <w:rPr>
          <w:rFonts w:hint="eastAsia"/>
          <w:sz w:val="20"/>
        </w:rPr>
        <w:t>)</w:t>
      </w:r>
    </w:p>
    <w:sectPr w:rsidR="0035083D" w:rsidRPr="00805BB6">
      <w:pgSz w:w="11909" w:h="16834" w:code="9"/>
      <w:pgMar w:top="576" w:right="1152" w:bottom="28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1BC6" w14:textId="77777777" w:rsidR="00E54A74" w:rsidRDefault="00E54A74" w:rsidP="00096496">
      <w:r>
        <w:separator/>
      </w:r>
    </w:p>
  </w:endnote>
  <w:endnote w:type="continuationSeparator" w:id="0">
    <w:p w14:paraId="7B8DBC41" w14:textId="77777777" w:rsidR="00E54A74" w:rsidRDefault="00E54A74" w:rsidP="0009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D51" w14:textId="77777777" w:rsidR="00E54A74" w:rsidRDefault="00E54A74" w:rsidP="00096496">
      <w:r>
        <w:separator/>
      </w:r>
    </w:p>
  </w:footnote>
  <w:footnote w:type="continuationSeparator" w:id="0">
    <w:p w14:paraId="7734644A" w14:textId="77777777" w:rsidR="00E54A74" w:rsidRDefault="00E54A74" w:rsidP="00096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8C5894"/>
    <w:multiLevelType w:val="hybridMultilevel"/>
    <w:tmpl w:val="526081FC"/>
    <w:lvl w:ilvl="0" w:tplc="1FC05712">
      <w:start w:val="1"/>
      <w:numFmt w:val="decimal"/>
      <w:lvlText w:val="%1."/>
      <w:lvlJc w:val="left"/>
      <w:pPr>
        <w:tabs>
          <w:tab w:val="num" w:pos="456"/>
        </w:tabs>
        <w:ind w:left="456" w:hanging="45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B9F368E"/>
    <w:multiLevelType w:val="hybridMultilevel"/>
    <w:tmpl w:val="DE3C648E"/>
    <w:lvl w:ilvl="0" w:tplc="B0C864DC">
      <w:start w:val="2"/>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6678589C"/>
    <w:multiLevelType w:val="hybridMultilevel"/>
    <w:tmpl w:val="F5CC5256"/>
    <w:lvl w:ilvl="0" w:tplc="F1CA5C28">
      <w:start w:val="3"/>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D5"/>
    <w:rsid w:val="00022176"/>
    <w:rsid w:val="00047539"/>
    <w:rsid w:val="000552C3"/>
    <w:rsid w:val="00075276"/>
    <w:rsid w:val="00092762"/>
    <w:rsid w:val="00096496"/>
    <w:rsid w:val="000E694E"/>
    <w:rsid w:val="00135C06"/>
    <w:rsid w:val="001709B4"/>
    <w:rsid w:val="00180945"/>
    <w:rsid w:val="001B36AE"/>
    <w:rsid w:val="00207239"/>
    <w:rsid w:val="0022770B"/>
    <w:rsid w:val="00232FB8"/>
    <w:rsid w:val="002A0D9E"/>
    <w:rsid w:val="002B1C6B"/>
    <w:rsid w:val="00323346"/>
    <w:rsid w:val="0035083D"/>
    <w:rsid w:val="003663DA"/>
    <w:rsid w:val="00381940"/>
    <w:rsid w:val="0038420E"/>
    <w:rsid w:val="00393495"/>
    <w:rsid w:val="003A0FBA"/>
    <w:rsid w:val="003A2F7A"/>
    <w:rsid w:val="00414CB0"/>
    <w:rsid w:val="00422601"/>
    <w:rsid w:val="0045510A"/>
    <w:rsid w:val="00497C32"/>
    <w:rsid w:val="004F4C11"/>
    <w:rsid w:val="00506167"/>
    <w:rsid w:val="005815AD"/>
    <w:rsid w:val="005B6F73"/>
    <w:rsid w:val="005C6D7B"/>
    <w:rsid w:val="00630981"/>
    <w:rsid w:val="006621CB"/>
    <w:rsid w:val="006707D8"/>
    <w:rsid w:val="00745739"/>
    <w:rsid w:val="00805BB6"/>
    <w:rsid w:val="00833F5A"/>
    <w:rsid w:val="00840634"/>
    <w:rsid w:val="008672DF"/>
    <w:rsid w:val="00871B79"/>
    <w:rsid w:val="00872DBD"/>
    <w:rsid w:val="008B4D20"/>
    <w:rsid w:val="008B754D"/>
    <w:rsid w:val="008F15AC"/>
    <w:rsid w:val="00924BE9"/>
    <w:rsid w:val="00932938"/>
    <w:rsid w:val="00942E82"/>
    <w:rsid w:val="009A419F"/>
    <w:rsid w:val="009B15D5"/>
    <w:rsid w:val="009F0403"/>
    <w:rsid w:val="009F5990"/>
    <w:rsid w:val="00A16D5F"/>
    <w:rsid w:val="00A32BAA"/>
    <w:rsid w:val="00A35433"/>
    <w:rsid w:val="00AA7168"/>
    <w:rsid w:val="00AC1BCA"/>
    <w:rsid w:val="00AC1D9A"/>
    <w:rsid w:val="00AD0798"/>
    <w:rsid w:val="00BC2CE3"/>
    <w:rsid w:val="00C84161"/>
    <w:rsid w:val="00D40C94"/>
    <w:rsid w:val="00D55716"/>
    <w:rsid w:val="00D701E5"/>
    <w:rsid w:val="00DA6A24"/>
    <w:rsid w:val="00E138E0"/>
    <w:rsid w:val="00E47332"/>
    <w:rsid w:val="00E5426D"/>
    <w:rsid w:val="00E54A74"/>
    <w:rsid w:val="00E866BC"/>
    <w:rsid w:val="00EB57D5"/>
    <w:rsid w:val="00EC795A"/>
    <w:rsid w:val="00EE232D"/>
    <w:rsid w:val="00EE74F2"/>
    <w:rsid w:val="00EF5732"/>
    <w:rsid w:val="00F20E93"/>
    <w:rsid w:val="00F26B12"/>
    <w:rsid w:val="00FB2DC9"/>
    <w:rsid w:val="00FB4D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EE2F083"/>
  <w15:docId w15:val="{C5FEE053-33AA-4D9A-B531-36C31D82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8"/>
    </w:rPr>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Indent"/>
    <w:qFormat/>
    <w:pPr>
      <w:keepNext/>
      <w:spacing w:line="220" w:lineRule="exact"/>
      <w:jc w:val="center"/>
      <w:outlineLvl w:val="1"/>
    </w:pPr>
    <w:rPr>
      <w:b/>
      <w:sz w:val="24"/>
      <w:u w:val="single"/>
    </w:rPr>
  </w:style>
  <w:style w:type="paragraph" w:styleId="Heading3">
    <w:name w:val="heading 3"/>
    <w:basedOn w:val="Normal"/>
    <w:next w:val="NormalIndent"/>
    <w:qFormat/>
    <w:pPr>
      <w:keepNext/>
      <w:ind w:left="-108"/>
      <w:jc w:val="center"/>
      <w:outlineLvl w:val="2"/>
    </w:pPr>
    <w:rPr>
      <w:b/>
      <w:sz w:val="22"/>
    </w:rPr>
  </w:style>
  <w:style w:type="paragraph" w:styleId="Heading4">
    <w:name w:val="heading 4"/>
    <w:basedOn w:val="Normal"/>
    <w:next w:val="NormalIndent"/>
    <w:qFormat/>
    <w:pPr>
      <w:keepNext/>
      <w:ind w:left="-108" w:right="-72"/>
      <w:jc w:val="center"/>
      <w:outlineLvl w:val="3"/>
    </w:pPr>
    <w:rPr>
      <w:b/>
      <w:sz w:val="22"/>
    </w:rPr>
  </w:style>
  <w:style w:type="paragraph" w:styleId="Heading5">
    <w:name w:val="heading 5"/>
    <w:basedOn w:val="Normal"/>
    <w:next w:val="NormalIndent"/>
    <w:qFormat/>
    <w:pPr>
      <w:keepNext/>
      <w:ind w:left="-108" w:right="-158"/>
      <w:jc w:val="center"/>
      <w:outlineLvl w:val="4"/>
    </w:pPr>
    <w:rPr>
      <w:b/>
      <w:sz w:val="24"/>
    </w:rPr>
  </w:style>
  <w:style w:type="paragraph" w:styleId="Heading6">
    <w:name w:val="heading 6"/>
    <w:basedOn w:val="Normal"/>
    <w:next w:val="Normal"/>
    <w:qFormat/>
    <w:pPr>
      <w:keepNext/>
      <w:ind w:left="-108" w:rightChars="-25" w:right="-70"/>
      <w:jc w:val="center"/>
      <w:outlineLvl w:val="5"/>
    </w:pPr>
    <w:rPr>
      <w:b/>
      <w:sz w:val="22"/>
    </w:rPr>
  </w:style>
  <w:style w:type="paragraph" w:styleId="Heading7">
    <w:name w:val="heading 7"/>
    <w:basedOn w:val="Normal"/>
    <w:next w:val="Normal"/>
    <w:qFormat/>
    <w:pPr>
      <w:keepNext/>
      <w:ind w:left="-106" w:rightChars="-38" w:right="-106"/>
      <w:jc w:val="center"/>
      <w:outlineLvl w:val="6"/>
    </w:pPr>
    <w:rPr>
      <w:b/>
      <w:sz w:val="22"/>
    </w:rPr>
  </w:style>
  <w:style w:type="paragraph" w:styleId="Heading8">
    <w:name w:val="heading 8"/>
    <w:basedOn w:val="Normal"/>
    <w:next w:val="Normal"/>
    <w:qFormat/>
    <w:pPr>
      <w:keepNext/>
      <w:ind w:left="-81" w:rightChars="-38" w:right="-106"/>
      <w:jc w:val="center"/>
      <w:outlineLvl w:val="7"/>
    </w:pPr>
    <w:rPr>
      <w:b/>
      <w:sz w:val="22"/>
    </w:rPr>
  </w:style>
  <w:style w:type="paragraph" w:styleId="Heading9">
    <w:name w:val="heading 9"/>
    <w:basedOn w:val="Normal"/>
    <w:next w:val="Normal"/>
    <w:qFormat/>
    <w:pPr>
      <w:keepNext/>
      <w:wordWrap w:val="0"/>
      <w:jc w:val="right"/>
      <w:outlineLvl w:val="8"/>
    </w:pPr>
    <w:rPr>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hanging="720"/>
      <w:jc w:val="both"/>
    </w:pPr>
    <w:rPr>
      <w:sz w:val="24"/>
    </w:rPr>
  </w:style>
  <w:style w:type="paragraph" w:styleId="NormalIndent">
    <w:name w:val="Normal Indent"/>
    <w:basedOn w:val="Normal"/>
    <w:pPr>
      <w:ind w:left="480"/>
    </w:pPr>
  </w:style>
  <w:style w:type="table" w:styleId="TableGrid">
    <w:name w:val="Table Grid"/>
    <w:basedOn w:val="TableNormal"/>
    <w:rsid w:val="003663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96496"/>
    <w:pPr>
      <w:tabs>
        <w:tab w:val="center" w:pos="4153"/>
        <w:tab w:val="right" w:pos="8306"/>
      </w:tabs>
      <w:snapToGrid w:val="0"/>
    </w:pPr>
    <w:rPr>
      <w:sz w:val="20"/>
    </w:rPr>
  </w:style>
  <w:style w:type="character" w:customStyle="1" w:styleId="HeaderChar">
    <w:name w:val="Header Char"/>
    <w:basedOn w:val="DefaultParagraphFont"/>
    <w:link w:val="Header"/>
    <w:rsid w:val="00096496"/>
  </w:style>
  <w:style w:type="paragraph" w:styleId="Footer">
    <w:name w:val="footer"/>
    <w:basedOn w:val="Normal"/>
    <w:link w:val="FooterChar"/>
    <w:rsid w:val="00096496"/>
    <w:pPr>
      <w:tabs>
        <w:tab w:val="center" w:pos="4153"/>
        <w:tab w:val="right" w:pos="8306"/>
      </w:tabs>
      <w:snapToGrid w:val="0"/>
    </w:pPr>
    <w:rPr>
      <w:sz w:val="20"/>
    </w:rPr>
  </w:style>
  <w:style w:type="character" w:customStyle="1" w:styleId="FooterChar">
    <w:name w:val="Footer Char"/>
    <w:basedOn w:val="DefaultParagraphFont"/>
    <w:link w:val="Footer"/>
    <w:rsid w:val="00096496"/>
  </w:style>
  <w:style w:type="paragraph" w:styleId="BalloonText">
    <w:name w:val="Balloon Text"/>
    <w:basedOn w:val="Normal"/>
    <w:link w:val="BalloonTextChar"/>
    <w:rsid w:val="00EE74F2"/>
    <w:rPr>
      <w:rFonts w:ascii="Cambria" w:hAnsi="Cambria"/>
      <w:sz w:val="18"/>
      <w:szCs w:val="18"/>
    </w:rPr>
  </w:style>
  <w:style w:type="character" w:customStyle="1" w:styleId="BalloonTextChar">
    <w:name w:val="Balloon Text Char"/>
    <w:link w:val="BalloonText"/>
    <w:rsid w:val="00EE74F2"/>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1212</Words>
  <Characters>6879</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YEE MEDICAL FOUNDATION</dc:title>
  <dc:creator>S.K. Yee Medical Foundation</dc:creator>
  <cp:lastModifiedBy>user</cp:lastModifiedBy>
  <cp:revision>5</cp:revision>
  <cp:lastPrinted>2021-11-15T01:41:00Z</cp:lastPrinted>
  <dcterms:created xsi:type="dcterms:W3CDTF">2021-11-15T01:42:00Z</dcterms:created>
  <dcterms:modified xsi:type="dcterms:W3CDTF">2021-11-18T06:58:00Z</dcterms:modified>
</cp:coreProperties>
</file>